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ind w:right="0" w:rightChars="0"/>
        <w:jc w:val="both"/>
        <w:rPr>
          <w:rFonts w:hint="eastAsia" w:eastAsia="方正仿宋_GBK"/>
          <w:sz w:val="32"/>
        </w:rPr>
      </w:pPr>
      <w:r>
        <w:rPr>
          <w:rFonts w:hint="eastAsia" w:eastAsia="方正仿宋_GBK"/>
          <w:sz w:val="32"/>
        </w:rPr>
        <w:t>附件1</w:t>
      </w:r>
    </w:p>
    <w:p>
      <w:pPr>
        <w:keepNext w:val="0"/>
        <w:keepLines w:val="0"/>
        <w:pageBreakBefore w:val="0"/>
        <w:kinsoku/>
        <w:overflowPunct/>
        <w:topLinePunct w:val="0"/>
        <w:autoSpaceDE/>
        <w:autoSpaceDN/>
        <w:bidi w:val="0"/>
        <w:adjustRightInd/>
        <w:snapToGrid/>
        <w:spacing w:line="560" w:lineRule="exact"/>
        <w:ind w:right="0" w:rightChars="0" w:firstLine="943" w:firstLineChars="200"/>
        <w:jc w:val="both"/>
        <w:rPr>
          <w:rFonts w:hint="eastAsia" w:eastAsia="方正小标宋_GBK"/>
          <w:b/>
          <w:spacing w:val="15"/>
          <w:sz w:val="44"/>
          <w:shd w:val="clear" w:color="auto" w:fill="FFFFFF"/>
        </w:rPr>
      </w:pPr>
    </w:p>
    <w:p>
      <w:pPr>
        <w:keepNext w:val="0"/>
        <w:keepLines w:val="0"/>
        <w:pageBreakBefore w:val="0"/>
        <w:kinsoku/>
        <w:overflowPunct/>
        <w:topLinePunct w:val="0"/>
        <w:autoSpaceDE/>
        <w:autoSpaceDN/>
        <w:bidi w:val="0"/>
        <w:adjustRightInd/>
        <w:snapToGrid/>
        <w:spacing w:line="560" w:lineRule="exact"/>
        <w:ind w:right="0" w:rightChars="0"/>
        <w:jc w:val="center"/>
        <w:rPr>
          <w:rFonts w:hint="eastAsia" w:eastAsia="方正小标宋_GBK"/>
          <w:b/>
          <w:spacing w:val="15"/>
          <w:sz w:val="44"/>
          <w:shd w:val="clear" w:color="auto" w:fill="FFFFFF"/>
        </w:rPr>
      </w:pPr>
      <w:bookmarkStart w:id="0" w:name="_GoBack"/>
      <w:r>
        <w:rPr>
          <w:rFonts w:hint="eastAsia" w:eastAsia="方正小标宋_GBK"/>
          <w:b/>
          <w:spacing w:val="15"/>
          <w:sz w:val="44"/>
          <w:shd w:val="clear" w:color="auto" w:fill="FFFFFF"/>
        </w:rPr>
        <w:t>中牟县人民政府</w:t>
      </w:r>
    </w:p>
    <w:p>
      <w:pPr>
        <w:keepNext w:val="0"/>
        <w:keepLines w:val="0"/>
        <w:pageBreakBefore w:val="0"/>
        <w:kinsoku/>
        <w:overflowPunct/>
        <w:topLinePunct w:val="0"/>
        <w:autoSpaceDE/>
        <w:autoSpaceDN/>
        <w:bidi w:val="0"/>
        <w:adjustRightInd/>
        <w:snapToGrid/>
        <w:spacing w:line="560" w:lineRule="exact"/>
        <w:ind w:right="0" w:rightChars="0"/>
        <w:jc w:val="center"/>
        <w:rPr>
          <w:rFonts w:hint="eastAsia" w:eastAsia="方正小标宋_GBK"/>
          <w:b/>
          <w:spacing w:val="15"/>
          <w:sz w:val="44"/>
          <w:shd w:val="clear" w:color="auto" w:fill="FFFFFF"/>
        </w:rPr>
      </w:pPr>
      <w:r>
        <w:rPr>
          <w:rFonts w:hint="eastAsia" w:eastAsia="方正小标宋_GBK"/>
          <w:b/>
          <w:spacing w:val="15"/>
          <w:sz w:val="44"/>
          <w:shd w:val="clear" w:color="auto" w:fill="FFFFFF"/>
        </w:rPr>
        <w:t>关于废止中牟县农村宅基地和集体建设用地使用权确权登记发证工作的指导意见的通知</w:t>
      </w:r>
    </w:p>
    <w:p>
      <w:pPr>
        <w:keepNext w:val="0"/>
        <w:keepLines w:val="0"/>
        <w:pageBreakBefore w:val="0"/>
        <w:kinsoku/>
        <w:overflowPunct/>
        <w:topLinePunct w:val="0"/>
        <w:autoSpaceDE/>
        <w:autoSpaceDN/>
        <w:bidi w:val="0"/>
        <w:adjustRightInd/>
        <w:snapToGrid/>
        <w:spacing w:line="560" w:lineRule="exact"/>
        <w:ind w:right="0" w:rightChars="0"/>
        <w:jc w:val="center"/>
        <w:textAlignment w:val="baseline"/>
        <w:rPr>
          <w:rFonts w:hint="eastAsia" w:ascii="方正楷体_GBK" w:eastAsia="方正楷体_GBK"/>
          <w:spacing w:val="-6"/>
          <w:sz w:val="32"/>
        </w:rPr>
      </w:pPr>
      <w:r>
        <w:rPr>
          <w:rFonts w:hint="eastAsia" w:ascii="方正楷体_GBK" w:eastAsia="方正楷体_GBK"/>
          <w:spacing w:val="-6"/>
          <w:sz w:val="32"/>
        </w:rPr>
        <w:t>（征求意见稿）</w:t>
      </w:r>
    </w:p>
    <w:bookmarkEnd w:id="0"/>
    <w:p>
      <w:pPr>
        <w:keepNext w:val="0"/>
        <w:keepLines w:val="0"/>
        <w:pageBreakBefore w:val="0"/>
        <w:kinsoku/>
        <w:overflowPunct/>
        <w:topLinePunct w:val="0"/>
        <w:autoSpaceDE/>
        <w:autoSpaceDN/>
        <w:bidi w:val="0"/>
        <w:adjustRightInd/>
        <w:snapToGrid/>
        <w:spacing w:line="560" w:lineRule="exact"/>
        <w:ind w:right="0" w:rightChars="0" w:firstLine="616" w:firstLineChars="200"/>
        <w:jc w:val="both"/>
        <w:textAlignment w:val="baseline"/>
        <w:rPr>
          <w:rFonts w:hint="eastAsia" w:eastAsia="方正仿宋_GBK"/>
          <w:spacing w:val="-6"/>
          <w:sz w:val="32"/>
        </w:rPr>
      </w:pPr>
    </w:p>
    <w:p>
      <w:pPr>
        <w:keepNext w:val="0"/>
        <w:keepLines w:val="0"/>
        <w:pageBreakBefore w:val="0"/>
        <w:kinsoku/>
        <w:overflowPunct/>
        <w:topLinePunct w:val="0"/>
        <w:autoSpaceDE/>
        <w:autoSpaceDN/>
        <w:bidi w:val="0"/>
        <w:adjustRightInd/>
        <w:snapToGrid/>
        <w:spacing w:line="560" w:lineRule="exact"/>
        <w:ind w:right="0" w:rightChars="0" w:firstLine="608" w:firstLineChars="200"/>
        <w:jc w:val="both"/>
        <w:textAlignment w:val="baseline"/>
        <w:rPr>
          <w:rFonts w:hint="eastAsia" w:eastAsia="方正仿宋_GBK"/>
          <w:color w:val="000000"/>
          <w:w w:val="95"/>
          <w:kern w:val="0"/>
          <w:sz w:val="32"/>
        </w:rPr>
      </w:pPr>
      <w:r>
        <w:rPr>
          <w:rFonts w:hint="eastAsia" w:eastAsia="方正仿宋_GBK"/>
          <w:color w:val="000000"/>
          <w:w w:val="95"/>
          <w:kern w:val="0"/>
          <w:sz w:val="32"/>
        </w:rPr>
        <w:t>为贯彻落实自然资源部《关于加快宅基地和集体建设用地使用权确权登记工作的通知》（自然资发</w:t>
      </w:r>
      <w:r>
        <w:rPr>
          <w:rFonts w:eastAsia="方正仿宋_GBK"/>
          <w:sz w:val="32"/>
        </w:rPr>
        <w:t>〔20</w:t>
      </w:r>
      <w:r>
        <w:rPr>
          <w:rFonts w:hint="eastAsia" w:eastAsia="方正仿宋_GBK"/>
          <w:sz w:val="32"/>
        </w:rPr>
        <w:t>20</w:t>
      </w:r>
      <w:r>
        <w:rPr>
          <w:rFonts w:eastAsia="方正仿宋_GBK"/>
          <w:sz w:val="32"/>
        </w:rPr>
        <w:t>〕</w:t>
      </w:r>
      <w:r>
        <w:rPr>
          <w:rFonts w:hint="eastAsia" w:eastAsia="方正仿宋_GBK"/>
          <w:sz w:val="32"/>
        </w:rPr>
        <w:t>84</w:t>
      </w:r>
      <w:r>
        <w:rPr>
          <w:rFonts w:eastAsia="方正仿宋_GBK"/>
          <w:sz w:val="32"/>
        </w:rPr>
        <w:t>号</w:t>
      </w:r>
      <w:r>
        <w:rPr>
          <w:rFonts w:hint="eastAsia" w:eastAsia="方正仿宋_GBK"/>
          <w:color w:val="000000"/>
          <w:w w:val="95"/>
          <w:kern w:val="0"/>
          <w:sz w:val="32"/>
        </w:rPr>
        <w:t>）、河南省国土资源厅 中共河南省委农村工作办公室 河南省财政厅 河南省住房和城乡建设厅 河南省农业厅 河南省民政厅《关于河南省农村宅基地使用权确权登记发证的指导意见》（豫国土资规</w:t>
      </w:r>
      <w:r>
        <w:rPr>
          <w:rFonts w:eastAsia="方正仿宋_GBK"/>
          <w:sz w:val="32"/>
        </w:rPr>
        <w:t>〔20</w:t>
      </w:r>
      <w:r>
        <w:rPr>
          <w:rFonts w:hint="eastAsia" w:eastAsia="方正仿宋_GBK"/>
          <w:sz w:val="32"/>
        </w:rPr>
        <w:t>16</w:t>
      </w:r>
      <w:r>
        <w:rPr>
          <w:rFonts w:eastAsia="方正仿宋_GBK"/>
          <w:sz w:val="32"/>
        </w:rPr>
        <w:t>〕</w:t>
      </w:r>
      <w:r>
        <w:rPr>
          <w:rFonts w:hint="eastAsia" w:eastAsia="方正仿宋_GBK"/>
          <w:sz w:val="32"/>
        </w:rPr>
        <w:t>10</w:t>
      </w:r>
      <w:r>
        <w:rPr>
          <w:rFonts w:eastAsia="方正仿宋_GBK"/>
          <w:sz w:val="32"/>
        </w:rPr>
        <w:t>号</w:t>
      </w:r>
      <w:r>
        <w:rPr>
          <w:rFonts w:hint="eastAsia" w:eastAsia="方正仿宋_GBK"/>
          <w:color w:val="000000"/>
          <w:w w:val="95"/>
          <w:kern w:val="0"/>
          <w:sz w:val="32"/>
        </w:rPr>
        <w:t>）有关要求，进一步规范和加快推进全县农村宅基地和集体建设用地使用权确权登记发证工作，根据《河南省行政规范性文件管理办法》第二十八条之规定，现决定将《中牟县人民政府关于中牟县农村宅基地和集体建设用地使用权确权登记发证工作的指导意见》（牟政</w:t>
      </w:r>
      <w:r>
        <w:rPr>
          <w:rFonts w:eastAsia="方正仿宋_GBK"/>
          <w:sz w:val="32"/>
        </w:rPr>
        <w:t>〔20</w:t>
      </w:r>
      <w:r>
        <w:rPr>
          <w:rFonts w:hint="eastAsia" w:eastAsia="方正仿宋_GBK"/>
          <w:sz w:val="32"/>
        </w:rPr>
        <w:t>17</w:t>
      </w:r>
      <w:r>
        <w:rPr>
          <w:rFonts w:eastAsia="方正仿宋_GBK"/>
          <w:sz w:val="32"/>
        </w:rPr>
        <w:t>〕</w:t>
      </w:r>
      <w:r>
        <w:rPr>
          <w:rFonts w:hint="eastAsia" w:eastAsia="方正仿宋_GBK"/>
          <w:sz w:val="32"/>
        </w:rPr>
        <w:t>4</w:t>
      </w:r>
      <w:r>
        <w:rPr>
          <w:rFonts w:eastAsia="方正仿宋_GBK"/>
          <w:sz w:val="32"/>
        </w:rPr>
        <w:t>号</w:t>
      </w:r>
      <w:r>
        <w:rPr>
          <w:rFonts w:hint="eastAsia" w:eastAsia="方正仿宋_GBK"/>
          <w:color w:val="000000"/>
          <w:w w:val="95"/>
          <w:kern w:val="0"/>
          <w:sz w:val="32"/>
        </w:rPr>
        <w:t>）自本通知印发之日起予以废止。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D6E55"/>
    <w:rsid w:val="4E0D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2022-01-04T01:10:00Z</dcterms:created>
  <dc:creator>Alysa</dc:creator>
  <cp:lastModifiedBy>Alysa</cp:lastModifiedBy>
  <dcterms:modified xsi:type="dcterms:W3CDTF">2022-01-04T01:11:57Z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B81BA8EE0E2242769DA5A2E661364331</vt:lpwstr>
  </property>
</Properties>
</file>