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</w:rPr>
        <w:t>关于加强瓶装液化石油气安全管理的通知</w:t>
      </w:r>
      <w:r>
        <w:rPr>
          <w:rFonts w:hint="eastAsia" w:ascii="方正小标宋_GBK" w:hAnsi="方正小标宋_GBK" w:eastAsia="方正小标宋_GBK"/>
          <w:b w:val="0"/>
          <w:bCs w:val="0"/>
          <w:color w:val="auto"/>
          <w:sz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黑体_GBK" w:hAnsi="方正黑体_GBK" w:eastAsia="方正黑体_GBK"/>
          <w:b/>
          <w:bCs/>
          <w:color w:val="auto"/>
          <w:sz w:val="32"/>
        </w:rPr>
      </w:pPr>
      <w:r>
        <w:rPr>
          <w:rFonts w:hint="eastAsia" w:ascii="方正小标宋_GBK" w:hAnsi="方正小标宋_GBK" w:eastAsia="方正小标宋_GBK"/>
          <w:b w:val="0"/>
          <w:bCs w:val="0"/>
          <w:color w:val="auto"/>
          <w:sz w:val="44"/>
        </w:rPr>
        <w:t>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一、</w:t>
      </w:r>
      <w:r>
        <w:rPr>
          <w:rFonts w:hint="eastAsia" w:ascii="方正黑体_GBK" w:hAnsi="方正黑体_GBK" w:eastAsia="方正黑体_GBK"/>
          <w:color w:val="auto"/>
          <w:sz w:val="32"/>
        </w:rPr>
        <w:t>制定该文件的背景与目的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为进一步规范瓶装液化石油气（以下简称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“瓶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装燃气”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en-US"/>
        </w:rPr>
        <w:t>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充装、销售、配送、使用等环节安全管理，落实企业安全生产主体责任，加强瓶装燃气市场监管和安全管理，防范瓶装燃气安全事故的发生，保障人民生命财产安全和社会公共安全，根据《中华人民共和国安全生产法》《城镇燃气管理条例》《河南省城镇燃气管理办法》《住</w:t>
      </w:r>
      <w:r>
        <w:rPr>
          <w:rFonts w:hint="default" w:ascii="Times New Roman" w:hAnsi="Times New Roman" w:eastAsia="方正仿宋_GBK" w:cs="Times New Roman"/>
          <w:color w:val="000000"/>
          <w:spacing w:val="6"/>
          <w:w w:val="100"/>
          <w:position w:val="0"/>
          <w:sz w:val="32"/>
          <w:szCs w:val="32"/>
        </w:rPr>
        <w:t>房和城乡建设部、公安部、交通运输部、商务部、应急部、市场监管总局关于加强瓶装液化石油气安全管理的指导意见》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（建城〔2021〕23号）等有关法律法规，结合我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二、</w:t>
      </w:r>
      <w:r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  <w:t>目标任务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利用2到3年时间，通过规划引领、科学布点、规范建设，系统构建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中牟县县域内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瓶装液化石油气生产经营配送场站；通过建设县、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行业主管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企业三级燃气安全监管信息化数字化监管体系，落实瓶装燃气实名制销售，实现气瓶流向全过程智能化追溯；强化企业配送人员和车辆管理，建立以瓶装燃气企业为气瓶安全责任主体的管理模式，规范瓶装燃气企业经营行为，提高瓶装燃气行业整体服务质量和水平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中牟县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瓶装燃气市场安全管理实现系统健全，制度完善，生产、经营、服务形成链条，市场秩序规范、安全稳定、健康发展。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《郑州市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人民政府</w:t>
      </w:r>
      <w:bookmarkStart w:id="0" w:name="bookmark3"/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关于加强瓶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装液化石油气安全管理的通知</w:t>
      </w:r>
      <w:bookmarkEnd w:id="0"/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》（郑政文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7号），结合我县实际，制定本实施方案。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z w:val="32"/>
          <w:lang w:eastAsia="zh-CN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四、主要内容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科学规划、规范建设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完善制度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加强管理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进一步规范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zh-CN" w:eastAsia="zh-CN"/>
        </w:rPr>
        <w:t>瓶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装燃气充装、销售、配送、使用等环节安全管理，落实企业安全生产主体责任，加强瓶装燃气市场监管和安全管理，防范瓶装燃气安全事故的发生，保障人民生命财产安全和社会公共安全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；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着力消除用户端燃气安全隐患、提升本质安全水平，防范燃气事故发生，保障人民群众生命财产安全和社会稳定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  <w:t>五、重要举措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为切实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加强瓶装液化石油气安全管理的通知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zh-TW" w:eastAsia="zh-TW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/>
        </w:rPr>
        <w:t>工作有序开展，特制定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以下保障措施（一）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加强组织领导（二）</w:t>
      </w:r>
      <w:bookmarkStart w:id="1" w:name="bookmark19"/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强化责任落</w:t>
      </w:r>
      <w:r>
        <w:rPr>
          <w:rFonts w:hint="eastAsia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实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（</w:t>
      </w:r>
      <w:bookmarkEnd w:id="1"/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三）</w:t>
      </w:r>
      <w:bookmarkStart w:id="2" w:name="bookmark20"/>
      <w:r>
        <w:rPr>
          <w:rFonts w:hint="eastAsia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强化部门联动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（</w:t>
      </w:r>
      <w:bookmarkEnd w:id="2"/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四）</w:t>
      </w:r>
      <w:r>
        <w:rPr>
          <w:rFonts w:hint="eastAsia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强化宣传引导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（五）</w:t>
      </w:r>
      <w:r>
        <w:rPr>
          <w:rFonts w:hint="eastAsia" w:ascii="Times New Roman" w:hAnsi="Times New Roman" w:eastAsia="方正仿宋_GBK" w:cs="Times New Roman"/>
          <w:color w:val="000000"/>
          <w:spacing w:val="-6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强化责任追究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  <w:t>六、涉及范围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中牟县辖区涉及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  <w:lang w:val="zh-CN" w:eastAsia="zh-CN"/>
        </w:rPr>
        <w:t>瓶</w:t>
      </w:r>
      <w:r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</w:rPr>
        <w:t>装燃气充装、销售、配送、使用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的企业及用户。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2"/>
          <w:lang w:val="en-US" w:eastAsia="zh-CN"/>
        </w:rPr>
        <w:t>七、执行标准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月底前，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各乡镇（街道）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对本辖区安全装置加装工作自查验收，对应装未装、安装不符合规范要求的，督促整改；202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月底前，</w:t>
      </w:r>
      <w:bookmarkStart w:id="3" w:name="_GoBack"/>
      <w:bookmarkEnd w:id="3"/>
      <w:r>
        <w:rPr>
          <w:rFonts w:hint="default" w:ascii="Times New Roman" w:hAnsi="Times New Roman" w:eastAsia="方正仿宋_GBK" w:cs="Times New Roman"/>
          <w:sz w:val="32"/>
          <w:szCs w:val="32"/>
        </w:rPr>
        <w:t>领导小组办公室组织统一抽查验收，并进行排名通报。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具体工作细则参考《中牟县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城镇燃气用户加装安全装置工作实施方案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"/>
          <w:color w:val="auto"/>
          <w:sz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</w:pPr>
      <w:r>
        <w:rPr>
          <w:rFonts w:ascii="Times New Roman" w:hAnsi="Times New Roman" w:eastAsia="仿宋"/>
          <w:color w:val="auto"/>
          <w:sz w:val="32"/>
        </w:rPr>
        <w:t>20</w:t>
      </w:r>
      <w:r>
        <w:rPr>
          <w:rFonts w:hint="eastAsia" w:ascii="Times New Roman" w:hAnsi="Times New Roman" w:eastAsia="仿宋"/>
          <w:color w:val="auto"/>
          <w:sz w:val="32"/>
        </w:rPr>
        <w:t>2</w:t>
      </w: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>2</w:t>
      </w:r>
      <w:r>
        <w:rPr>
          <w:rFonts w:ascii="Times New Roman" w:hAnsi="Times New Roman" w:eastAsia="仿宋"/>
          <w:color w:val="auto"/>
          <w:sz w:val="32"/>
        </w:rPr>
        <w:t>年</w:t>
      </w: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>2</w:t>
      </w:r>
      <w:r>
        <w:rPr>
          <w:rFonts w:ascii="Times New Roman" w:hAnsi="Times New Roman" w:eastAsia="仿宋"/>
          <w:color w:val="auto"/>
          <w:sz w:val="32"/>
        </w:rPr>
        <w:t>月</w:t>
      </w: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>21</w:t>
      </w:r>
      <w:r>
        <w:rPr>
          <w:rFonts w:ascii="Times New Roman" w:hAnsi="Times New Roman" w:eastAsia="仿宋"/>
          <w:color w:val="auto"/>
          <w:sz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124D"/>
    <w:rsid w:val="006A1CF9"/>
    <w:rsid w:val="05DE7F94"/>
    <w:rsid w:val="0794295A"/>
    <w:rsid w:val="0AC260D6"/>
    <w:rsid w:val="0EA33B28"/>
    <w:rsid w:val="159C2F8C"/>
    <w:rsid w:val="19EE726C"/>
    <w:rsid w:val="1FE20022"/>
    <w:rsid w:val="24184997"/>
    <w:rsid w:val="247E0A3F"/>
    <w:rsid w:val="28773F6A"/>
    <w:rsid w:val="3DB10411"/>
    <w:rsid w:val="409D0774"/>
    <w:rsid w:val="425A3F23"/>
    <w:rsid w:val="440D7DD3"/>
    <w:rsid w:val="46BF124D"/>
    <w:rsid w:val="48693111"/>
    <w:rsid w:val="4A070E34"/>
    <w:rsid w:val="4D5A127B"/>
    <w:rsid w:val="50BB7C0A"/>
    <w:rsid w:val="57321A88"/>
    <w:rsid w:val="59B44408"/>
    <w:rsid w:val="5B57329D"/>
    <w:rsid w:val="5C71407F"/>
    <w:rsid w:val="5D566905"/>
    <w:rsid w:val="60BE2C44"/>
    <w:rsid w:val="640D03F6"/>
    <w:rsid w:val="6954138E"/>
    <w:rsid w:val="6EDC4A5C"/>
    <w:rsid w:val="719759DA"/>
    <w:rsid w:val="751C7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qFormat/>
    <w:uiPriority w:val="0"/>
    <w:pPr>
      <w:widowControl w:val="0"/>
      <w:shd w:val="clear" w:color="auto" w:fill="auto"/>
      <w:spacing w:after="24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2021-11-15T03:33:00Z</dcterms:created>
  <dc:creator>小꯭潘꯭</dc:creator>
  <cp:lastModifiedBy>Now you think so</cp:lastModifiedBy>
  <cp:lastPrinted>2022-02-16T00:07:00Z</cp:lastPrinted>
  <dcterms:modified xsi:type="dcterms:W3CDTF">2022-02-24T02:29:37Z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58999CC069524CB5A2160CC997CED485</vt:lpwstr>
  </property>
</Properties>
</file>